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2E" w:rsidRDefault="009D5B2E" w:rsidP="00A8146D">
      <w:pPr>
        <w:spacing w:after="0" w:line="240" w:lineRule="auto"/>
      </w:pPr>
      <w:r>
        <w:separator/>
      </w:r>
    </w:p>
  </w:endnote>
  <w:end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</w:t>
      </w:r>
      <w:bookmarkStart w:id="0" w:name="_GoBack"/>
      <w:bookmarkEnd w:id="0"/>
      <w:r w:rsidRPr="00ED22AF">
        <w:t>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 w:rsidRPr="00ED22AF">
        <w:t xml:space="preserve">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t>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t xml:space="preserve">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t xml:space="preserve">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t xml:space="preserve">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t xml:space="preserve">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 w:rsidRPr="00ED22AF">
        <w:t>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t xml:space="preserve">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t>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t xml:space="preserve">Vymenujte ďalšie zdroje financovania (napr. komerčný úver, </w:t>
      </w:r>
      <w:proofErr w:type="spellStart"/>
      <w:r>
        <w:t>Envirofond</w:t>
      </w:r>
      <w:proofErr w:type="spellEnd"/>
      <w:r>
        <w:t>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Pr="00B131D7">
        <w:t xml:space="preserve">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 w:rsidRPr="00ED22AF">
        <w:t>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7BA7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2E" w:rsidRDefault="009D5B2E" w:rsidP="00A8146D">
      <w:pPr>
        <w:spacing w:after="0" w:line="240" w:lineRule="auto"/>
      </w:pPr>
      <w:r>
        <w:separator/>
      </w:r>
    </w:p>
  </w:footnote>
  <w:foot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2E70-9630-4A66-A0E0-C9BC0FE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Benická Dominika</cp:lastModifiedBy>
  <cp:revision>19</cp:revision>
  <cp:lastPrinted>2018-08-01T07:48:00Z</cp:lastPrinted>
  <dcterms:created xsi:type="dcterms:W3CDTF">2020-05-28T12:53:00Z</dcterms:created>
  <dcterms:modified xsi:type="dcterms:W3CDTF">2020-06-04T14:00:00Z</dcterms:modified>
</cp:coreProperties>
</file>